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537CE" w14:textId="77777777" w:rsidR="00B070D0" w:rsidRPr="003669C0" w:rsidRDefault="00B070D0" w:rsidP="00150DCB">
      <w:pPr>
        <w:pStyle w:val="Heading1"/>
        <w:spacing w:after="0" w:line="240" w:lineRule="auto"/>
        <w:jc w:val="center"/>
      </w:pPr>
      <w:bookmarkStart w:id="0" w:name="chuong_pl2"/>
      <w:bookmarkStart w:id="1" w:name="_Toc214546321"/>
      <w:r w:rsidRPr="003669C0">
        <w:t xml:space="preserve">PHỤ LỤC </w:t>
      </w:r>
      <w:bookmarkEnd w:id="0"/>
      <w:r w:rsidRPr="003669C0">
        <w:t>13</w:t>
      </w:r>
      <w:r w:rsidRPr="003669C0">
        <w:br/>
        <w:t>CẤP BÁO ĐỘNG</w:t>
      </w:r>
      <w:bookmarkEnd w:id="1"/>
    </w:p>
    <w:p w14:paraId="14ED5A01" w14:textId="77777777" w:rsidR="00F769D3" w:rsidRPr="00AF38CF" w:rsidRDefault="00F769D3" w:rsidP="00150DCB">
      <w:pPr>
        <w:pStyle w:val="Heading1"/>
        <w:spacing w:after="0" w:line="240" w:lineRule="auto"/>
        <w:jc w:val="center"/>
      </w:pPr>
      <w:r w:rsidRPr="00926F72">
        <w:rPr>
          <w:b w:val="0"/>
          <w:bCs w:val="0"/>
          <w:i/>
          <w:iCs/>
        </w:rPr>
        <w:t>(Kèm theo Thông tư số 59/2025/TT-BKHCN ngày 31 tháng 12 năm 2025</w:t>
      </w:r>
      <w:r>
        <w:br/>
      </w:r>
      <w:r w:rsidRPr="00926F72">
        <w:rPr>
          <w:b w:val="0"/>
          <w:bCs w:val="0"/>
          <w:i/>
          <w:iCs/>
        </w:rPr>
        <w:t>của Bộ trưởng Bộ Khoa học và Công nghệ)</w:t>
      </w:r>
    </w:p>
    <w:p w14:paraId="6E74F210" w14:textId="77777777" w:rsidR="00B070D0" w:rsidRPr="003669C0" w:rsidRDefault="00B070D0" w:rsidP="00B070D0">
      <w:pPr>
        <w:spacing w:before="240"/>
        <w:jc w:val="both"/>
        <w:rPr>
          <w:color w:val="auto"/>
          <w:lang w:val="vi-VN"/>
        </w:rPr>
      </w:pPr>
      <w:r w:rsidRPr="003669C0">
        <w:rPr>
          <w:b/>
          <w:bCs/>
          <w:color w:val="auto"/>
          <w:lang w:val="vi-VN"/>
        </w:rPr>
        <w:t>1. Cấp báo động đối với cơ sở thuộc nhóm chuẩn bị ứng phó sự cố I và II</w:t>
      </w:r>
    </w:p>
    <w:p w14:paraId="17773950" w14:textId="77777777" w:rsidR="00B070D0" w:rsidRPr="003669C0" w:rsidRDefault="00B070D0" w:rsidP="00B070D0">
      <w:pPr>
        <w:spacing w:before="240"/>
        <w:jc w:val="both"/>
        <w:rPr>
          <w:color w:val="auto"/>
          <w:lang w:val="vi-VN"/>
        </w:rPr>
      </w:pPr>
      <w:r w:rsidRPr="003669C0">
        <w:rPr>
          <w:color w:val="auto"/>
          <w:lang w:val="vi-VN"/>
        </w:rPr>
        <w:t xml:space="preserve">Cấp báo động đối với cơ sở thuộc nhóm chuẩn bị ứng phó sự cố I và II bao gồm mức A, mức B và mức C tương ứng với mức độ nghiêm trọng tăng dần. </w:t>
      </w:r>
    </w:p>
    <w:p w14:paraId="53DE824F" w14:textId="77777777" w:rsidR="00B070D0" w:rsidRPr="003669C0" w:rsidRDefault="00B070D0" w:rsidP="00B070D0">
      <w:pPr>
        <w:spacing w:before="240"/>
        <w:jc w:val="both"/>
        <w:rPr>
          <w:color w:val="auto"/>
          <w:lang w:val="vi-VN"/>
        </w:rPr>
      </w:pPr>
      <w:r w:rsidRPr="003669C0">
        <w:rPr>
          <w:color w:val="auto"/>
          <w:lang w:val="vi-VN"/>
        </w:rPr>
        <w:t>Đặc điểm cụ thể từng mức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26"/>
        <w:gridCol w:w="3761"/>
        <w:gridCol w:w="3975"/>
      </w:tblGrid>
      <w:tr w:rsidR="00B070D0" w:rsidRPr="003669C0" w14:paraId="6B42C80E" w14:textId="77777777" w:rsidTr="0016375E">
        <w:tc>
          <w:tcPr>
            <w:tcW w:w="732" w:type="pct"/>
            <w:tcMar>
              <w:top w:w="0" w:type="dxa"/>
              <w:left w:w="0" w:type="dxa"/>
              <w:bottom w:w="0" w:type="dxa"/>
              <w:right w:w="0" w:type="dxa"/>
            </w:tcMar>
          </w:tcPr>
          <w:p w14:paraId="1A39FF25" w14:textId="77777777" w:rsidR="00B070D0" w:rsidRPr="003669C0" w:rsidRDefault="00B070D0" w:rsidP="007F6E73">
            <w:pPr>
              <w:spacing w:before="240"/>
              <w:jc w:val="center"/>
              <w:rPr>
                <w:color w:val="auto"/>
              </w:rPr>
            </w:pPr>
            <w:r w:rsidRPr="003669C0">
              <w:rPr>
                <w:b/>
                <w:bCs/>
                <w:color w:val="auto"/>
              </w:rPr>
              <w:t>Cấp báo động</w:t>
            </w:r>
            <w:hyperlink w:anchor="_ftn5" w:history="1"/>
          </w:p>
        </w:tc>
        <w:tc>
          <w:tcPr>
            <w:tcW w:w="2075" w:type="pct"/>
            <w:tcMar>
              <w:top w:w="0" w:type="dxa"/>
              <w:left w:w="0" w:type="dxa"/>
              <w:bottom w:w="0" w:type="dxa"/>
              <w:right w:w="0" w:type="dxa"/>
            </w:tcMar>
          </w:tcPr>
          <w:p w14:paraId="3DFDFE3E" w14:textId="77777777" w:rsidR="00B070D0" w:rsidRPr="003669C0" w:rsidRDefault="00B070D0" w:rsidP="0016375E">
            <w:pPr>
              <w:spacing w:before="240"/>
              <w:jc w:val="center"/>
              <w:rPr>
                <w:color w:val="auto"/>
              </w:rPr>
            </w:pPr>
            <w:r w:rsidRPr="003669C0">
              <w:rPr>
                <w:b/>
                <w:bCs/>
                <w:color w:val="auto"/>
              </w:rPr>
              <w:t>Mô tả</w:t>
            </w:r>
          </w:p>
        </w:tc>
        <w:tc>
          <w:tcPr>
            <w:tcW w:w="2193" w:type="pct"/>
            <w:tcMar>
              <w:top w:w="0" w:type="dxa"/>
              <w:left w:w="0" w:type="dxa"/>
              <w:bottom w:w="0" w:type="dxa"/>
              <w:right w:w="0" w:type="dxa"/>
            </w:tcMar>
          </w:tcPr>
          <w:p w14:paraId="540F5528" w14:textId="77777777" w:rsidR="00B070D0" w:rsidRPr="003669C0" w:rsidRDefault="00B070D0" w:rsidP="0016375E">
            <w:pPr>
              <w:spacing w:before="240"/>
              <w:jc w:val="center"/>
              <w:rPr>
                <w:color w:val="auto"/>
              </w:rPr>
            </w:pPr>
            <w:r w:rsidRPr="003669C0">
              <w:rPr>
                <w:b/>
                <w:bCs/>
                <w:color w:val="auto"/>
              </w:rPr>
              <w:t>Tình huống sự cố điển hình của cấp báo động</w:t>
            </w:r>
          </w:p>
        </w:tc>
      </w:tr>
      <w:tr w:rsidR="00B070D0" w:rsidRPr="003669C0" w14:paraId="2AFF99EA" w14:textId="77777777" w:rsidTr="0016375E">
        <w:tc>
          <w:tcPr>
            <w:tcW w:w="732" w:type="pct"/>
            <w:tcMar>
              <w:top w:w="0" w:type="dxa"/>
              <w:left w:w="0" w:type="dxa"/>
              <w:bottom w:w="0" w:type="dxa"/>
              <w:right w:w="0" w:type="dxa"/>
            </w:tcMar>
          </w:tcPr>
          <w:p w14:paraId="7C01A9D5" w14:textId="77777777" w:rsidR="00B070D0" w:rsidRPr="003669C0" w:rsidRDefault="00B070D0" w:rsidP="007F6E73">
            <w:pPr>
              <w:spacing w:before="240"/>
              <w:jc w:val="center"/>
              <w:rPr>
                <w:color w:val="auto"/>
              </w:rPr>
            </w:pPr>
            <w:r w:rsidRPr="003669C0">
              <w:rPr>
                <w:color w:val="auto"/>
              </w:rPr>
              <w:t>Mức A</w:t>
            </w:r>
          </w:p>
        </w:tc>
        <w:tc>
          <w:tcPr>
            <w:tcW w:w="2075" w:type="pct"/>
            <w:tcMar>
              <w:top w:w="0" w:type="dxa"/>
              <w:left w:w="0" w:type="dxa"/>
              <w:bottom w:w="0" w:type="dxa"/>
              <w:right w:w="0" w:type="dxa"/>
            </w:tcMar>
          </w:tcPr>
          <w:p w14:paraId="66DD4E2E" w14:textId="77777777" w:rsidR="00B070D0" w:rsidRPr="003669C0" w:rsidRDefault="00B070D0" w:rsidP="0016375E">
            <w:pPr>
              <w:spacing w:before="240"/>
              <w:jc w:val="both"/>
              <w:rPr>
                <w:color w:val="auto"/>
              </w:rPr>
            </w:pPr>
            <w:r w:rsidRPr="003669C0">
              <w:rPr>
                <w:color w:val="auto"/>
              </w:rPr>
              <w:t>Cấp báo động A (mức cảnh báo - Alert) được tuyên bố khi có những trục trặc kỹ thuật được phát hiện trong nhà máy, sự suy giảm mức bảo vệ được ghi nhận nhưng không cần tiến hành các hành động bảo vệ bên ngoài cơ sở (nhà máy điện hạt nhân).</w:t>
            </w:r>
          </w:p>
        </w:tc>
        <w:tc>
          <w:tcPr>
            <w:tcW w:w="2193" w:type="pct"/>
            <w:tcMar>
              <w:top w:w="0" w:type="dxa"/>
              <w:left w:w="0" w:type="dxa"/>
              <w:bottom w:w="0" w:type="dxa"/>
              <w:right w:w="0" w:type="dxa"/>
            </w:tcMar>
          </w:tcPr>
          <w:p w14:paraId="530D3A03" w14:textId="77777777" w:rsidR="00B070D0" w:rsidRPr="003669C0" w:rsidRDefault="00B070D0" w:rsidP="0016375E">
            <w:pPr>
              <w:spacing w:before="240"/>
              <w:jc w:val="both"/>
              <w:rPr>
                <w:color w:val="auto"/>
              </w:rPr>
            </w:pPr>
            <w:r w:rsidRPr="003669C0">
              <w:rPr>
                <w:color w:val="auto"/>
              </w:rPr>
              <w:t>- Xảy ra các điều kiện bất thường không có khả năng dẫn tới sự cố lớn.</w:t>
            </w:r>
          </w:p>
          <w:p w14:paraId="3D77763B" w14:textId="77777777" w:rsidR="00B070D0" w:rsidRPr="003669C0" w:rsidRDefault="00B070D0" w:rsidP="0016375E">
            <w:pPr>
              <w:spacing w:before="240"/>
              <w:jc w:val="both"/>
              <w:rPr>
                <w:color w:val="auto"/>
              </w:rPr>
            </w:pPr>
            <w:r w:rsidRPr="003669C0">
              <w:rPr>
                <w:color w:val="auto"/>
              </w:rPr>
              <w:t>- Xảy ra các điều kiện bất thường và không có khả năng ảnh hưởng ra ngoài cơ sở.</w:t>
            </w:r>
          </w:p>
        </w:tc>
      </w:tr>
      <w:tr w:rsidR="00B070D0" w:rsidRPr="003669C0" w14:paraId="00117C05" w14:textId="77777777" w:rsidTr="0016375E">
        <w:tc>
          <w:tcPr>
            <w:tcW w:w="732" w:type="pct"/>
            <w:tcMar>
              <w:top w:w="0" w:type="dxa"/>
              <w:left w:w="0" w:type="dxa"/>
              <w:bottom w:w="0" w:type="dxa"/>
              <w:right w:w="0" w:type="dxa"/>
            </w:tcMar>
          </w:tcPr>
          <w:p w14:paraId="2AC06FBD" w14:textId="77777777" w:rsidR="00B070D0" w:rsidRPr="003669C0" w:rsidRDefault="00B070D0" w:rsidP="007F6E73">
            <w:pPr>
              <w:spacing w:before="240"/>
              <w:jc w:val="center"/>
              <w:rPr>
                <w:color w:val="auto"/>
              </w:rPr>
            </w:pPr>
            <w:r w:rsidRPr="003669C0">
              <w:rPr>
                <w:color w:val="auto"/>
              </w:rPr>
              <w:t>Mức B</w:t>
            </w:r>
          </w:p>
        </w:tc>
        <w:tc>
          <w:tcPr>
            <w:tcW w:w="2075" w:type="pct"/>
            <w:tcMar>
              <w:top w:w="0" w:type="dxa"/>
              <w:left w:w="0" w:type="dxa"/>
              <w:bottom w:w="0" w:type="dxa"/>
              <w:right w:w="0" w:type="dxa"/>
            </w:tcMar>
          </w:tcPr>
          <w:p w14:paraId="338B754F" w14:textId="77777777" w:rsidR="00B070D0" w:rsidRPr="003669C0" w:rsidRDefault="00B070D0" w:rsidP="0016375E">
            <w:pPr>
              <w:spacing w:before="240"/>
              <w:jc w:val="both"/>
              <w:rPr>
                <w:color w:val="auto"/>
              </w:rPr>
            </w:pPr>
            <w:r w:rsidRPr="003669C0">
              <w:rPr>
                <w:color w:val="auto"/>
              </w:rPr>
              <w:t>Cấp báo động B (mức khẩn cấp xung quanh nhà máy - Site Area Emergency) được tuyên bố khi công chúng bên ngoài cơ sở được báo động chuẩn bị thực hiện các hành động bảo vệ; các hành động ứng phó khác và công tác quan trắc phóng xạ cần được tiến hành xung quanh cơ sở.</w:t>
            </w:r>
          </w:p>
        </w:tc>
        <w:tc>
          <w:tcPr>
            <w:tcW w:w="2193" w:type="pct"/>
            <w:tcMar>
              <w:top w:w="0" w:type="dxa"/>
              <w:left w:w="0" w:type="dxa"/>
              <w:bottom w:w="0" w:type="dxa"/>
              <w:right w:w="0" w:type="dxa"/>
            </w:tcMar>
          </w:tcPr>
          <w:p w14:paraId="082034C4" w14:textId="77777777" w:rsidR="00B070D0" w:rsidRPr="003669C0" w:rsidRDefault="00B070D0" w:rsidP="0016375E">
            <w:pPr>
              <w:spacing w:before="240"/>
              <w:jc w:val="both"/>
              <w:rPr>
                <w:color w:val="auto"/>
              </w:rPr>
            </w:pPr>
            <w:r w:rsidRPr="003669C0">
              <w:rPr>
                <w:color w:val="auto"/>
              </w:rPr>
              <w:t>- Xảy ra các điều kiện bất thường có thể dẫn tới sự cố lớn.</w:t>
            </w:r>
          </w:p>
          <w:p w14:paraId="5694E73E" w14:textId="77777777" w:rsidR="00B070D0" w:rsidRPr="003669C0" w:rsidRDefault="00B070D0" w:rsidP="0016375E">
            <w:pPr>
              <w:spacing w:before="240"/>
              <w:jc w:val="both"/>
              <w:rPr>
                <w:color w:val="auto"/>
              </w:rPr>
            </w:pPr>
            <w:r w:rsidRPr="003669C0">
              <w:rPr>
                <w:color w:val="auto"/>
              </w:rPr>
              <w:t>- Xảy ra các điều kiện bất thường có khả năng làm gián đoạn tính năng an toàn cần thiết cho việc bảo vệ nhiên liệu trong bể nhiên liệu đã qua sử dụng.</w:t>
            </w:r>
          </w:p>
          <w:p w14:paraId="29781D87" w14:textId="77777777" w:rsidR="00B070D0" w:rsidRPr="003669C0" w:rsidRDefault="00B070D0" w:rsidP="0016375E">
            <w:pPr>
              <w:spacing w:before="240"/>
              <w:jc w:val="both"/>
              <w:rPr>
                <w:color w:val="auto"/>
              </w:rPr>
            </w:pPr>
            <w:r w:rsidRPr="003669C0">
              <w:rPr>
                <w:color w:val="auto"/>
              </w:rPr>
              <w:t>- Có phát tán chất phóng xạ nhưng không liên quan tới hư hỏng nhiên liệu trong vùng hoạt hoặc nhiên liệu đã qua sử dụng.</w:t>
            </w:r>
          </w:p>
        </w:tc>
      </w:tr>
      <w:tr w:rsidR="00B070D0" w:rsidRPr="003669C0" w14:paraId="1397324B" w14:textId="77777777" w:rsidTr="0016375E">
        <w:tc>
          <w:tcPr>
            <w:tcW w:w="732" w:type="pct"/>
            <w:tcMar>
              <w:top w:w="0" w:type="dxa"/>
              <w:left w:w="0" w:type="dxa"/>
              <w:bottom w:w="0" w:type="dxa"/>
              <w:right w:w="0" w:type="dxa"/>
            </w:tcMar>
          </w:tcPr>
          <w:p w14:paraId="39CF733B" w14:textId="77777777" w:rsidR="00B070D0" w:rsidRPr="003669C0" w:rsidRDefault="00B070D0" w:rsidP="007F6E73">
            <w:pPr>
              <w:spacing w:before="240"/>
              <w:jc w:val="center"/>
              <w:rPr>
                <w:color w:val="auto"/>
              </w:rPr>
            </w:pPr>
            <w:r w:rsidRPr="003669C0">
              <w:rPr>
                <w:color w:val="auto"/>
              </w:rPr>
              <w:t>Mức C</w:t>
            </w:r>
          </w:p>
        </w:tc>
        <w:tc>
          <w:tcPr>
            <w:tcW w:w="2075" w:type="pct"/>
            <w:tcMar>
              <w:top w:w="0" w:type="dxa"/>
              <w:left w:w="0" w:type="dxa"/>
              <w:bottom w:w="0" w:type="dxa"/>
              <w:right w:w="0" w:type="dxa"/>
            </w:tcMar>
          </w:tcPr>
          <w:p w14:paraId="668466BD" w14:textId="77777777" w:rsidR="00B070D0" w:rsidRPr="003669C0" w:rsidRDefault="00B070D0" w:rsidP="0016375E">
            <w:pPr>
              <w:spacing w:before="240"/>
              <w:jc w:val="both"/>
              <w:rPr>
                <w:color w:val="auto"/>
              </w:rPr>
            </w:pPr>
            <w:r w:rsidRPr="003669C0">
              <w:rPr>
                <w:color w:val="auto"/>
              </w:rPr>
              <w:t>Cấp báo động C (mức khẩn cấp chung - General Emergency) được tuyên bố khi các hành động bảo vệ và các hành động ứng phó khác cần được thực hiện ngay lập tức để bảo vệ công chúng bên ngoài cơ sở.</w:t>
            </w:r>
          </w:p>
        </w:tc>
        <w:tc>
          <w:tcPr>
            <w:tcW w:w="2193" w:type="pct"/>
            <w:tcMar>
              <w:top w:w="0" w:type="dxa"/>
              <w:left w:w="0" w:type="dxa"/>
              <w:bottom w:w="0" w:type="dxa"/>
              <w:right w:w="0" w:type="dxa"/>
            </w:tcMar>
          </w:tcPr>
          <w:p w14:paraId="00665301" w14:textId="77777777" w:rsidR="00B070D0" w:rsidRPr="003669C0" w:rsidRDefault="00B070D0" w:rsidP="0016375E">
            <w:pPr>
              <w:spacing w:before="240"/>
              <w:jc w:val="both"/>
              <w:rPr>
                <w:color w:val="auto"/>
              </w:rPr>
            </w:pPr>
            <w:r w:rsidRPr="003669C0">
              <w:rPr>
                <w:color w:val="auto"/>
              </w:rPr>
              <w:t>- Hư hại nghiêm trọng hoặc dự kiến hư hại nghiêm trọng nhiên liệu trong vùng hoạt lò phản ứng hoặc bể chứa nhiên liệu đã qua sử dụng.</w:t>
            </w:r>
          </w:p>
          <w:p w14:paraId="708B07E1" w14:textId="77777777" w:rsidR="00B070D0" w:rsidRPr="003669C0" w:rsidRDefault="00B070D0" w:rsidP="0016375E">
            <w:pPr>
              <w:spacing w:before="240"/>
              <w:jc w:val="both"/>
              <w:rPr>
                <w:color w:val="auto"/>
              </w:rPr>
            </w:pPr>
            <w:r w:rsidRPr="003669C0">
              <w:rPr>
                <w:color w:val="auto"/>
              </w:rPr>
              <w:t xml:space="preserve">- Mất các tính năng an toàn có khả năng gây ra hư hỏng nghiêm trọng nhiên liệu trong vùng hoạt lò phản </w:t>
            </w:r>
            <w:r w:rsidRPr="003669C0">
              <w:rPr>
                <w:color w:val="auto"/>
              </w:rPr>
              <w:lastRenderedPageBreak/>
              <w:t>ứng hoặc bể nhiên liệu đã qua sử dụng, bao gồm mất khả năng thực hiện các tính năng an toàn sau:</w:t>
            </w:r>
          </w:p>
          <w:p w14:paraId="20BA3DA0" w14:textId="77777777" w:rsidR="00B070D0" w:rsidRPr="003669C0" w:rsidRDefault="00B070D0" w:rsidP="0016375E">
            <w:pPr>
              <w:spacing w:before="240"/>
              <w:jc w:val="both"/>
              <w:rPr>
                <w:color w:val="auto"/>
              </w:rPr>
            </w:pPr>
            <w:r w:rsidRPr="003669C0">
              <w:rPr>
                <w:color w:val="auto"/>
              </w:rPr>
              <w:t>+ Dừng lò phản ứng (thiết lập kiểm soát tới hạn lò phản ứng);</w:t>
            </w:r>
          </w:p>
          <w:p w14:paraId="23DAE0CB" w14:textId="77777777" w:rsidR="00B070D0" w:rsidRPr="003669C0" w:rsidRDefault="00B070D0" w:rsidP="0016375E">
            <w:pPr>
              <w:spacing w:before="240"/>
              <w:jc w:val="both"/>
              <w:rPr>
                <w:color w:val="auto"/>
              </w:rPr>
            </w:pPr>
            <w:r w:rsidRPr="003669C0">
              <w:rPr>
                <w:color w:val="auto"/>
              </w:rPr>
              <w:t>+ Giữ vùng hoạt được che chắn (làm lạnh thanh nhiên liệu);</w:t>
            </w:r>
          </w:p>
          <w:p w14:paraId="1EEE9208" w14:textId="77777777" w:rsidR="00B070D0" w:rsidRPr="003669C0" w:rsidRDefault="00B070D0" w:rsidP="0016375E">
            <w:pPr>
              <w:spacing w:before="240"/>
              <w:jc w:val="both"/>
              <w:rPr>
                <w:color w:val="auto"/>
              </w:rPr>
            </w:pPr>
            <w:r w:rsidRPr="003669C0">
              <w:rPr>
                <w:color w:val="auto"/>
              </w:rPr>
              <w:t>+ Tải nhiệt từ lò phản ứng và nhà lò phản ứng;</w:t>
            </w:r>
          </w:p>
          <w:p w14:paraId="4164FEEB" w14:textId="77777777" w:rsidR="00B070D0" w:rsidRPr="003669C0" w:rsidRDefault="00B070D0" w:rsidP="0016375E">
            <w:pPr>
              <w:spacing w:before="240"/>
              <w:jc w:val="both"/>
              <w:rPr>
                <w:color w:val="auto"/>
              </w:rPr>
            </w:pPr>
            <w:r w:rsidRPr="003669C0">
              <w:rPr>
                <w:color w:val="auto"/>
              </w:rPr>
              <w:t>+ Duy trì hệ thống phụ trợ quan trọng (ví dụ như điện AC/DC và hệ thống điều khiển, hệ thống thiết bị).</w:t>
            </w:r>
          </w:p>
          <w:p w14:paraId="5A94582F" w14:textId="77777777" w:rsidR="00B070D0" w:rsidRPr="003669C0" w:rsidRDefault="00B070D0" w:rsidP="0016375E">
            <w:pPr>
              <w:spacing w:before="240"/>
              <w:jc w:val="both"/>
              <w:rPr>
                <w:color w:val="auto"/>
              </w:rPr>
            </w:pPr>
            <w:r w:rsidRPr="003669C0">
              <w:rPr>
                <w:color w:val="auto"/>
              </w:rPr>
              <w:t>- Có hư hại hoặc sắp xảy ra hư hại đối với nhiên liệu trong vùng hoạt lò phản ứng hoặc bể nhiên liệu đã qua sử dụng.</w:t>
            </w:r>
          </w:p>
          <w:p w14:paraId="0807E29D" w14:textId="77777777" w:rsidR="00B070D0" w:rsidRPr="003669C0" w:rsidRDefault="00B070D0" w:rsidP="0016375E">
            <w:pPr>
              <w:spacing w:before="240"/>
              <w:jc w:val="both"/>
              <w:rPr>
                <w:color w:val="auto"/>
              </w:rPr>
            </w:pPr>
            <w:r w:rsidRPr="003669C0">
              <w:rPr>
                <w:color w:val="auto"/>
              </w:rPr>
              <w:t>- Mất khả năng kiểm soát các tính năng an toàn cần thiết nhằm bảo vệ nhiên liệu trong vùng hoạt lò phản ứng hoặc bể nhiên liệu đã qua sử dụng.</w:t>
            </w:r>
          </w:p>
          <w:p w14:paraId="318D44DA" w14:textId="77777777" w:rsidR="00B070D0" w:rsidRPr="003669C0" w:rsidRDefault="00B070D0" w:rsidP="0016375E">
            <w:pPr>
              <w:spacing w:before="240"/>
              <w:jc w:val="both"/>
              <w:rPr>
                <w:color w:val="auto"/>
              </w:rPr>
            </w:pPr>
            <w:r w:rsidRPr="003669C0">
              <w:rPr>
                <w:color w:val="auto"/>
              </w:rPr>
              <w:t>- Hư hỏng nhiên liệu làm xuất hiện mức phóng xạ ngoài cơ sở lớn hơn 100 μSv/h.</w:t>
            </w:r>
          </w:p>
        </w:tc>
      </w:tr>
    </w:tbl>
    <w:p w14:paraId="2A712B95" w14:textId="77777777" w:rsidR="00B070D0" w:rsidRPr="003669C0" w:rsidRDefault="00B070D0" w:rsidP="00B070D0">
      <w:pPr>
        <w:spacing w:before="240"/>
        <w:jc w:val="both"/>
        <w:rPr>
          <w:color w:val="auto"/>
        </w:rPr>
      </w:pPr>
      <w:r w:rsidRPr="003669C0">
        <w:rPr>
          <w:b/>
          <w:bCs/>
          <w:color w:val="auto"/>
        </w:rPr>
        <w:lastRenderedPageBreak/>
        <w:t>2. Cấp báo động đối với nhóm chuẩn bị ứng phó sự cố III, IV và V</w:t>
      </w:r>
    </w:p>
    <w:p w14:paraId="52A1BFC8" w14:textId="77777777" w:rsidR="00B070D0" w:rsidRPr="003669C0" w:rsidRDefault="00B070D0" w:rsidP="00B070D0">
      <w:pPr>
        <w:spacing w:before="240"/>
        <w:jc w:val="both"/>
        <w:rPr>
          <w:color w:val="auto"/>
        </w:rPr>
      </w:pPr>
      <w:r w:rsidRPr="003669C0">
        <w:rPr>
          <w:color w:val="auto"/>
        </w:rPr>
        <w:t>Cấp báo động đối với nhóm chuẩn bị ứng phó sự cố III, IV và V bao gồm mức 1, 2 và 3 tương ứng với mức độ nghiêm trọng tăng dần.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15"/>
        <w:gridCol w:w="7347"/>
      </w:tblGrid>
      <w:tr w:rsidR="00B070D0" w:rsidRPr="003669C0" w14:paraId="31EED711" w14:textId="77777777" w:rsidTr="0016375E">
        <w:tc>
          <w:tcPr>
            <w:tcW w:w="946" w:type="pct"/>
            <w:tcMar>
              <w:top w:w="0" w:type="dxa"/>
              <w:left w:w="0" w:type="dxa"/>
              <w:bottom w:w="0" w:type="dxa"/>
              <w:right w:w="0" w:type="dxa"/>
            </w:tcMar>
          </w:tcPr>
          <w:p w14:paraId="2768D8C2" w14:textId="77777777" w:rsidR="00B070D0" w:rsidRPr="003669C0" w:rsidRDefault="00B070D0" w:rsidP="0016375E">
            <w:pPr>
              <w:spacing w:before="240"/>
              <w:jc w:val="center"/>
              <w:rPr>
                <w:color w:val="auto"/>
              </w:rPr>
            </w:pPr>
            <w:r w:rsidRPr="003669C0">
              <w:rPr>
                <w:b/>
                <w:bCs/>
                <w:color w:val="auto"/>
              </w:rPr>
              <w:t>Cấp báo động</w:t>
            </w:r>
          </w:p>
        </w:tc>
        <w:tc>
          <w:tcPr>
            <w:tcW w:w="4054" w:type="pct"/>
            <w:tcMar>
              <w:top w:w="0" w:type="dxa"/>
              <w:left w:w="0" w:type="dxa"/>
              <w:bottom w:w="0" w:type="dxa"/>
              <w:right w:w="0" w:type="dxa"/>
            </w:tcMar>
          </w:tcPr>
          <w:p w14:paraId="7C505C38" w14:textId="77777777" w:rsidR="00B070D0" w:rsidRPr="003669C0" w:rsidRDefault="00B070D0" w:rsidP="0016375E">
            <w:pPr>
              <w:spacing w:before="240"/>
              <w:jc w:val="center"/>
              <w:rPr>
                <w:color w:val="auto"/>
              </w:rPr>
            </w:pPr>
            <w:r w:rsidRPr="003669C0">
              <w:rPr>
                <w:b/>
                <w:bCs/>
                <w:color w:val="auto"/>
              </w:rPr>
              <w:t>Tình huống sự cố điển hình của cấp báo động</w:t>
            </w:r>
          </w:p>
        </w:tc>
      </w:tr>
      <w:tr w:rsidR="00B070D0" w:rsidRPr="003669C0" w14:paraId="0F6F3127" w14:textId="77777777" w:rsidTr="0016375E">
        <w:tc>
          <w:tcPr>
            <w:tcW w:w="946" w:type="pct"/>
            <w:tcMar>
              <w:top w:w="0" w:type="dxa"/>
              <w:left w:w="0" w:type="dxa"/>
              <w:bottom w:w="0" w:type="dxa"/>
              <w:right w:w="0" w:type="dxa"/>
            </w:tcMar>
          </w:tcPr>
          <w:p w14:paraId="32BD716E" w14:textId="77777777" w:rsidR="00B070D0" w:rsidRPr="003669C0" w:rsidRDefault="00B070D0" w:rsidP="0016375E">
            <w:pPr>
              <w:spacing w:before="240"/>
              <w:jc w:val="center"/>
              <w:rPr>
                <w:color w:val="auto"/>
              </w:rPr>
            </w:pPr>
            <w:r w:rsidRPr="003669C0">
              <w:rPr>
                <w:b/>
                <w:bCs/>
                <w:color w:val="auto"/>
              </w:rPr>
              <w:t>Cấp 1</w:t>
            </w:r>
          </w:p>
        </w:tc>
        <w:tc>
          <w:tcPr>
            <w:tcW w:w="4054" w:type="pct"/>
            <w:tcMar>
              <w:top w:w="0" w:type="dxa"/>
              <w:left w:w="0" w:type="dxa"/>
              <w:bottom w:w="0" w:type="dxa"/>
              <w:right w:w="0" w:type="dxa"/>
            </w:tcMar>
          </w:tcPr>
          <w:p w14:paraId="28B56307" w14:textId="77777777" w:rsidR="00B070D0" w:rsidRPr="003669C0" w:rsidRDefault="00B070D0" w:rsidP="0016375E">
            <w:pPr>
              <w:spacing w:before="240"/>
              <w:jc w:val="both"/>
              <w:rPr>
                <w:color w:val="auto"/>
              </w:rPr>
            </w:pPr>
            <w:r w:rsidRPr="003669C0">
              <w:rPr>
                <w:color w:val="auto"/>
              </w:rPr>
              <w:t>- Sự cố xảy ra trong cơ sở với nguồn phóng xạ kín thuộc nhóm 3, 4 và 5.</w:t>
            </w:r>
          </w:p>
          <w:p w14:paraId="51A4C3C1" w14:textId="77777777" w:rsidR="00B070D0" w:rsidRPr="003669C0" w:rsidRDefault="00B070D0" w:rsidP="0016375E">
            <w:pPr>
              <w:spacing w:before="240"/>
              <w:jc w:val="both"/>
              <w:rPr>
                <w:color w:val="auto"/>
              </w:rPr>
            </w:pPr>
            <w:r w:rsidRPr="003669C0">
              <w:rPr>
                <w:color w:val="auto"/>
              </w:rPr>
              <w:t>- Sự cố xảy ra với nguồn phóng xạ nhóm 3, 4 và 5 nằm ngoài kiểm soát.</w:t>
            </w:r>
          </w:p>
          <w:p w14:paraId="38F6B681" w14:textId="77777777" w:rsidR="00B070D0" w:rsidRPr="003669C0" w:rsidRDefault="00B070D0" w:rsidP="0016375E">
            <w:pPr>
              <w:spacing w:before="240"/>
              <w:jc w:val="both"/>
              <w:rPr>
                <w:color w:val="auto"/>
              </w:rPr>
            </w:pPr>
            <w:r w:rsidRPr="003669C0">
              <w:rPr>
                <w:color w:val="auto"/>
              </w:rPr>
              <w:t>- Sự cố xảy ra và có thể gây suất liều chiếu xạ không quá 50 mSv/h.</w:t>
            </w:r>
          </w:p>
          <w:p w14:paraId="6BC44236" w14:textId="77777777" w:rsidR="00B070D0" w:rsidRPr="003669C0" w:rsidRDefault="00B070D0" w:rsidP="0016375E">
            <w:pPr>
              <w:spacing w:before="240"/>
              <w:jc w:val="both"/>
              <w:rPr>
                <w:color w:val="auto"/>
              </w:rPr>
            </w:pPr>
            <w:r w:rsidRPr="003669C0">
              <w:rPr>
                <w:color w:val="auto"/>
              </w:rPr>
              <w:lastRenderedPageBreak/>
              <w:t>- Sự cố xảy ra và không có chất phóng xạ bị phát tán, không có nhiễm bẩn phóng xạ.</w:t>
            </w:r>
          </w:p>
          <w:p w14:paraId="632CF92B" w14:textId="77777777" w:rsidR="00B070D0" w:rsidRPr="003669C0" w:rsidRDefault="00B070D0" w:rsidP="0016375E">
            <w:pPr>
              <w:spacing w:before="240"/>
              <w:jc w:val="both"/>
              <w:rPr>
                <w:color w:val="auto"/>
              </w:rPr>
            </w:pPr>
            <w:r w:rsidRPr="003669C0">
              <w:rPr>
                <w:color w:val="auto"/>
              </w:rPr>
              <w:t>- Sự cố xảy ra và không có khả năng xuất hiện hiệu ứng tất định.</w:t>
            </w:r>
          </w:p>
          <w:p w14:paraId="4F5FC1A9" w14:textId="77777777" w:rsidR="00B070D0" w:rsidRPr="003669C0" w:rsidRDefault="00B070D0" w:rsidP="0016375E">
            <w:pPr>
              <w:spacing w:before="240"/>
              <w:jc w:val="both"/>
              <w:rPr>
                <w:color w:val="auto"/>
              </w:rPr>
            </w:pPr>
            <w:r w:rsidRPr="003669C0">
              <w:rPr>
                <w:color w:val="auto"/>
              </w:rPr>
              <w:t>- Sự cố xảy ra và không có công chúng bị chiếu xạ quá liều.</w:t>
            </w:r>
          </w:p>
          <w:p w14:paraId="27953E79" w14:textId="77777777" w:rsidR="00B070D0" w:rsidRPr="003669C0" w:rsidRDefault="00B070D0" w:rsidP="0016375E">
            <w:pPr>
              <w:spacing w:before="240"/>
              <w:jc w:val="both"/>
              <w:rPr>
                <w:color w:val="auto"/>
              </w:rPr>
            </w:pPr>
            <w:r w:rsidRPr="003669C0">
              <w:rPr>
                <w:color w:val="auto"/>
              </w:rPr>
              <w:t>- Sự cố xảy ra tại hai tỉnh trở lên không có nhiễm bẩn phóng xạ, không gây thiệt hại đối với con người và môi trường.</w:t>
            </w:r>
          </w:p>
          <w:p w14:paraId="238A65C6" w14:textId="77777777" w:rsidR="00B070D0" w:rsidRPr="003669C0" w:rsidRDefault="00B070D0" w:rsidP="0016375E">
            <w:pPr>
              <w:spacing w:before="240"/>
              <w:jc w:val="both"/>
              <w:rPr>
                <w:color w:val="auto"/>
              </w:rPr>
            </w:pPr>
            <w:r w:rsidRPr="003669C0">
              <w:rPr>
                <w:color w:val="auto"/>
              </w:rPr>
              <w:t>- Sự cố xảy ra ngoài biên giới có ảnh hưởng không đáng kể tới Việt Nam.</w:t>
            </w:r>
          </w:p>
        </w:tc>
      </w:tr>
      <w:tr w:rsidR="00B070D0" w:rsidRPr="003669C0" w14:paraId="2C66E71B" w14:textId="77777777" w:rsidTr="0016375E">
        <w:tc>
          <w:tcPr>
            <w:tcW w:w="946" w:type="pct"/>
            <w:tcMar>
              <w:top w:w="0" w:type="dxa"/>
              <w:left w:w="0" w:type="dxa"/>
              <w:bottom w:w="0" w:type="dxa"/>
              <w:right w:w="0" w:type="dxa"/>
            </w:tcMar>
          </w:tcPr>
          <w:p w14:paraId="37BD5EF0" w14:textId="77777777" w:rsidR="00B070D0" w:rsidRPr="003669C0" w:rsidRDefault="00B070D0" w:rsidP="0016375E">
            <w:pPr>
              <w:spacing w:before="240"/>
              <w:jc w:val="center"/>
              <w:rPr>
                <w:color w:val="auto"/>
              </w:rPr>
            </w:pPr>
            <w:r w:rsidRPr="003669C0">
              <w:rPr>
                <w:b/>
                <w:bCs/>
                <w:color w:val="auto"/>
              </w:rPr>
              <w:lastRenderedPageBreak/>
              <w:t>Cấp 2</w:t>
            </w:r>
          </w:p>
        </w:tc>
        <w:tc>
          <w:tcPr>
            <w:tcW w:w="4054" w:type="pct"/>
            <w:tcMar>
              <w:top w:w="0" w:type="dxa"/>
              <w:left w:w="0" w:type="dxa"/>
              <w:bottom w:w="0" w:type="dxa"/>
              <w:right w:w="0" w:type="dxa"/>
            </w:tcMar>
          </w:tcPr>
          <w:p w14:paraId="76EFF8BF" w14:textId="77777777" w:rsidR="00B070D0" w:rsidRPr="003669C0" w:rsidRDefault="00B070D0" w:rsidP="0016375E">
            <w:pPr>
              <w:spacing w:before="240"/>
              <w:jc w:val="both"/>
              <w:rPr>
                <w:color w:val="auto"/>
              </w:rPr>
            </w:pPr>
            <w:r w:rsidRPr="003669C0">
              <w:rPr>
                <w:color w:val="auto"/>
              </w:rPr>
              <w:t>- Sự cố chưa có thông tin rõ ràng.</w:t>
            </w:r>
          </w:p>
          <w:p w14:paraId="6F26B63D" w14:textId="77777777" w:rsidR="00B070D0" w:rsidRPr="003669C0" w:rsidRDefault="00B070D0" w:rsidP="0016375E">
            <w:pPr>
              <w:spacing w:before="240"/>
              <w:jc w:val="both"/>
              <w:rPr>
                <w:color w:val="auto"/>
              </w:rPr>
            </w:pPr>
            <w:r w:rsidRPr="003669C0">
              <w:rPr>
                <w:color w:val="auto"/>
              </w:rPr>
              <w:t>- Sự cố xảy ra trong cơ sở với nguồn phóng xạ thuộc nhóm 2 và nhóm 3 hoặc nguồn phóng xạ hở.</w:t>
            </w:r>
          </w:p>
          <w:p w14:paraId="3B2A2FEE" w14:textId="77777777" w:rsidR="00B070D0" w:rsidRPr="003669C0" w:rsidRDefault="00B070D0" w:rsidP="0016375E">
            <w:pPr>
              <w:spacing w:before="240"/>
              <w:jc w:val="both"/>
              <w:rPr>
                <w:color w:val="auto"/>
              </w:rPr>
            </w:pPr>
            <w:r w:rsidRPr="003669C0">
              <w:rPr>
                <w:color w:val="auto"/>
              </w:rPr>
              <w:t>- Sự cố xảy ra với nguồn phóng xạ nhóm 1 và nhóm 2 nằm ngoài kiểm soát.</w:t>
            </w:r>
          </w:p>
          <w:p w14:paraId="5C7D9B58" w14:textId="77777777" w:rsidR="00B070D0" w:rsidRPr="003669C0" w:rsidRDefault="00B070D0" w:rsidP="0016375E">
            <w:pPr>
              <w:spacing w:before="240"/>
              <w:jc w:val="both"/>
              <w:rPr>
                <w:color w:val="auto"/>
              </w:rPr>
            </w:pPr>
            <w:r w:rsidRPr="003669C0">
              <w:rPr>
                <w:color w:val="auto"/>
              </w:rPr>
              <w:t>- Sự cố xảy ra và có thể gây suất liều chiếu xạ không quá 1 Sv/h.</w:t>
            </w:r>
          </w:p>
          <w:p w14:paraId="59BD6FA9" w14:textId="77777777" w:rsidR="00B070D0" w:rsidRPr="003669C0" w:rsidRDefault="00B070D0" w:rsidP="0016375E">
            <w:pPr>
              <w:spacing w:before="240"/>
              <w:jc w:val="both"/>
              <w:rPr>
                <w:color w:val="auto"/>
              </w:rPr>
            </w:pPr>
            <w:r w:rsidRPr="003669C0">
              <w:rPr>
                <w:color w:val="auto"/>
              </w:rPr>
              <w:t>- Sự cố xảy ra và có chất phóng xạ bị phát tán, có nhiễm bẩn phóng xạ trên phạm vi nhỏ.</w:t>
            </w:r>
          </w:p>
          <w:p w14:paraId="5371876D" w14:textId="77777777" w:rsidR="00B070D0" w:rsidRPr="003669C0" w:rsidRDefault="00B070D0" w:rsidP="0016375E">
            <w:pPr>
              <w:spacing w:before="240"/>
              <w:jc w:val="both"/>
              <w:rPr>
                <w:color w:val="auto"/>
              </w:rPr>
            </w:pPr>
            <w:r w:rsidRPr="003669C0">
              <w:rPr>
                <w:color w:val="auto"/>
              </w:rPr>
              <w:t>- Sự cố xảy ra và có khả năng xuất hiện hiệu ứng tất định.</w:t>
            </w:r>
          </w:p>
          <w:p w14:paraId="4565430E" w14:textId="77777777" w:rsidR="00B070D0" w:rsidRPr="003669C0" w:rsidRDefault="00B070D0" w:rsidP="0016375E">
            <w:pPr>
              <w:spacing w:before="240"/>
              <w:jc w:val="both"/>
              <w:rPr>
                <w:color w:val="auto"/>
              </w:rPr>
            </w:pPr>
            <w:r w:rsidRPr="003669C0">
              <w:rPr>
                <w:color w:val="auto"/>
              </w:rPr>
              <w:t>- Sự cố liên quan đến vận chuyển nguồn phóng xạ, sự cố bạo động, khủng bố bằng chất phóng xạ;</w:t>
            </w:r>
          </w:p>
          <w:p w14:paraId="58CA3D7C" w14:textId="77777777" w:rsidR="00B070D0" w:rsidRPr="003669C0" w:rsidRDefault="00B070D0" w:rsidP="0016375E">
            <w:pPr>
              <w:spacing w:before="240"/>
              <w:jc w:val="both"/>
              <w:rPr>
                <w:color w:val="auto"/>
              </w:rPr>
            </w:pPr>
            <w:r w:rsidRPr="003669C0">
              <w:rPr>
                <w:color w:val="auto"/>
              </w:rPr>
              <w:t>- Sự cố xảy ra và có công chúng bị chiếu xạ liều cao.</w:t>
            </w:r>
          </w:p>
          <w:p w14:paraId="61A5B03C" w14:textId="77777777" w:rsidR="00B070D0" w:rsidRPr="003669C0" w:rsidRDefault="00B070D0" w:rsidP="0016375E">
            <w:pPr>
              <w:spacing w:before="240"/>
              <w:jc w:val="both"/>
              <w:rPr>
                <w:color w:val="auto"/>
              </w:rPr>
            </w:pPr>
            <w:r w:rsidRPr="003669C0">
              <w:rPr>
                <w:color w:val="auto"/>
              </w:rPr>
              <w:t>- Sự cố xảy ra ngoài biên giới nhưng ảnh hưởng tới môi trường, lương thực, thực phẩm tiêu thụ ở Việt Nam.</w:t>
            </w:r>
          </w:p>
        </w:tc>
      </w:tr>
      <w:tr w:rsidR="00B070D0" w:rsidRPr="003669C0" w14:paraId="2316234F" w14:textId="77777777" w:rsidTr="0016375E">
        <w:tc>
          <w:tcPr>
            <w:tcW w:w="946" w:type="pct"/>
            <w:tcMar>
              <w:top w:w="0" w:type="dxa"/>
              <w:left w:w="0" w:type="dxa"/>
              <w:bottom w:w="0" w:type="dxa"/>
              <w:right w:w="0" w:type="dxa"/>
            </w:tcMar>
          </w:tcPr>
          <w:p w14:paraId="02BCD393" w14:textId="77777777" w:rsidR="00B070D0" w:rsidRPr="003669C0" w:rsidRDefault="00B070D0" w:rsidP="0016375E">
            <w:pPr>
              <w:spacing w:before="240"/>
              <w:jc w:val="center"/>
              <w:rPr>
                <w:color w:val="auto"/>
              </w:rPr>
            </w:pPr>
            <w:r w:rsidRPr="003669C0">
              <w:rPr>
                <w:b/>
                <w:bCs/>
                <w:color w:val="auto"/>
              </w:rPr>
              <w:t>Cấp 3</w:t>
            </w:r>
          </w:p>
        </w:tc>
        <w:tc>
          <w:tcPr>
            <w:tcW w:w="4054" w:type="pct"/>
            <w:tcMar>
              <w:top w:w="0" w:type="dxa"/>
              <w:left w:w="0" w:type="dxa"/>
              <w:bottom w:w="0" w:type="dxa"/>
              <w:right w:w="0" w:type="dxa"/>
            </w:tcMar>
          </w:tcPr>
          <w:p w14:paraId="210D5CEF" w14:textId="77777777" w:rsidR="00B070D0" w:rsidRPr="003669C0" w:rsidRDefault="00B070D0" w:rsidP="0016375E">
            <w:pPr>
              <w:spacing w:before="240"/>
              <w:jc w:val="both"/>
              <w:rPr>
                <w:color w:val="auto"/>
              </w:rPr>
            </w:pPr>
            <w:r w:rsidRPr="003669C0">
              <w:rPr>
                <w:color w:val="auto"/>
              </w:rPr>
              <w:t>- Sự cố xảy ra trong cơ sở với nguồn phóng xạ thuộc nguồn phóng xạ nhóm 1.</w:t>
            </w:r>
          </w:p>
          <w:p w14:paraId="18B30EF3" w14:textId="77777777" w:rsidR="00B070D0" w:rsidRPr="003669C0" w:rsidRDefault="00B070D0" w:rsidP="0016375E">
            <w:pPr>
              <w:spacing w:before="240"/>
              <w:jc w:val="both"/>
              <w:rPr>
                <w:color w:val="auto"/>
              </w:rPr>
            </w:pPr>
            <w:r w:rsidRPr="003669C0">
              <w:rPr>
                <w:color w:val="auto"/>
              </w:rPr>
              <w:t>- Sự cố xảy ra và có thể gây suất liều chiếu xạ trên 1 Sv/h.</w:t>
            </w:r>
          </w:p>
          <w:p w14:paraId="28514DC1" w14:textId="77777777" w:rsidR="00B070D0" w:rsidRPr="003669C0" w:rsidRDefault="00B070D0" w:rsidP="0016375E">
            <w:pPr>
              <w:spacing w:before="240"/>
              <w:jc w:val="both"/>
              <w:rPr>
                <w:color w:val="auto"/>
              </w:rPr>
            </w:pPr>
            <w:r w:rsidRPr="003669C0">
              <w:rPr>
                <w:color w:val="auto"/>
              </w:rPr>
              <w:t>- Sự cố xảy ra và có chất phóng xạ bị phát tán, có nhiễm bẩn phóng xạ trên phạm vi rộng.</w:t>
            </w:r>
          </w:p>
          <w:p w14:paraId="5220B7E9" w14:textId="77777777" w:rsidR="00B070D0" w:rsidRPr="003669C0" w:rsidRDefault="00B070D0" w:rsidP="0016375E">
            <w:pPr>
              <w:spacing w:before="240"/>
              <w:jc w:val="both"/>
              <w:rPr>
                <w:color w:val="auto"/>
              </w:rPr>
            </w:pPr>
            <w:r w:rsidRPr="003669C0">
              <w:rPr>
                <w:color w:val="auto"/>
              </w:rPr>
              <w:t>- Sự cố xảy ra và có xuất hiện hiệu ứng tất định.</w:t>
            </w:r>
          </w:p>
          <w:p w14:paraId="4C3C3478" w14:textId="77777777" w:rsidR="00B070D0" w:rsidRPr="003669C0" w:rsidRDefault="00B070D0" w:rsidP="0016375E">
            <w:pPr>
              <w:spacing w:before="240"/>
              <w:jc w:val="both"/>
              <w:rPr>
                <w:color w:val="auto"/>
              </w:rPr>
            </w:pPr>
            <w:r w:rsidRPr="003669C0">
              <w:rPr>
                <w:color w:val="auto"/>
              </w:rPr>
              <w:t>- Sự cố bạo động, khủng bố, phá hoại cơ sở bức xạ sử dụng nguồn phóng xạ nhóm 1 gây nhiễm bẩn phóng xạ trên diện rộng.</w:t>
            </w:r>
          </w:p>
          <w:p w14:paraId="3CB5BCBB" w14:textId="77777777" w:rsidR="00B070D0" w:rsidRPr="003669C0" w:rsidRDefault="00B070D0" w:rsidP="0016375E">
            <w:pPr>
              <w:spacing w:before="240"/>
              <w:jc w:val="both"/>
              <w:rPr>
                <w:color w:val="auto"/>
              </w:rPr>
            </w:pPr>
            <w:r w:rsidRPr="003669C0">
              <w:rPr>
                <w:color w:val="auto"/>
              </w:rPr>
              <w:lastRenderedPageBreak/>
              <w:t>- Sự cố xảy ra tại tỉnh khác nhưng ảnh hưởng nghiêm trọng tới địa phương gây nhiễm bẩn trên diện rộng.</w:t>
            </w:r>
          </w:p>
        </w:tc>
      </w:tr>
    </w:tbl>
    <w:p w14:paraId="23554B38" w14:textId="77777777" w:rsidR="00B070D0" w:rsidRPr="003669C0" w:rsidRDefault="00B070D0" w:rsidP="00B070D0">
      <w:pPr>
        <w:spacing w:before="240"/>
        <w:jc w:val="both"/>
        <w:rPr>
          <w:color w:val="auto"/>
        </w:rPr>
      </w:pPr>
      <w:r w:rsidRPr="003669C0">
        <w:rPr>
          <w:color w:val="auto"/>
        </w:rPr>
        <w:lastRenderedPageBreak/>
        <w:t>Ghi chú: Phân nhóm nguồn phóng xạ theo Quy chuẩn kỹ thuật quốc gia về phân nhóm và phân loại nguồn phóng xạ.</w:t>
      </w:r>
    </w:p>
    <w:p w14:paraId="651F33BC" w14:textId="09588A57" w:rsidR="00C41E69" w:rsidRPr="00B070D0" w:rsidRDefault="00B070D0" w:rsidP="00B070D0">
      <w:pPr>
        <w:spacing w:before="240"/>
        <w:jc w:val="both"/>
        <w:rPr>
          <w:color w:val="auto"/>
        </w:rPr>
      </w:pPr>
      <w:r w:rsidRPr="003669C0">
        <w:rPr>
          <w:color w:val="auto"/>
        </w:rPr>
        <w:t> </w:t>
      </w:r>
    </w:p>
    <w:sectPr w:rsidR="00C41E69" w:rsidRPr="00B070D0" w:rsidSect="00810C5E">
      <w:headerReference w:type="default" r:id="rId6"/>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8A703" w14:textId="77777777" w:rsidR="001A044D" w:rsidRDefault="001A044D" w:rsidP="005A555F">
      <w:r>
        <w:separator/>
      </w:r>
    </w:p>
  </w:endnote>
  <w:endnote w:type="continuationSeparator" w:id="0">
    <w:p w14:paraId="5FB410AE" w14:textId="77777777" w:rsidR="001A044D" w:rsidRDefault="001A044D" w:rsidP="005A5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28815" w14:textId="77777777" w:rsidR="001A044D" w:rsidRDefault="001A044D" w:rsidP="005A555F">
      <w:r>
        <w:separator/>
      </w:r>
    </w:p>
  </w:footnote>
  <w:footnote w:type="continuationSeparator" w:id="0">
    <w:p w14:paraId="3ED05E9A" w14:textId="77777777" w:rsidR="001A044D" w:rsidRDefault="001A044D" w:rsidP="005A5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645794"/>
      <w:docPartObj>
        <w:docPartGallery w:val="Page Numbers (Top of Page)"/>
        <w:docPartUnique/>
      </w:docPartObj>
    </w:sdtPr>
    <w:sdtEndPr>
      <w:rPr>
        <w:noProof/>
        <w:color w:val="auto"/>
      </w:rPr>
    </w:sdtEndPr>
    <w:sdtContent>
      <w:p w14:paraId="3E303163" w14:textId="0845F05B" w:rsidR="005A555F" w:rsidRPr="005A555F" w:rsidRDefault="005A555F">
        <w:pPr>
          <w:pStyle w:val="Header"/>
          <w:jc w:val="center"/>
          <w:rPr>
            <w:color w:val="auto"/>
          </w:rPr>
        </w:pPr>
        <w:r w:rsidRPr="005A555F">
          <w:rPr>
            <w:color w:val="auto"/>
          </w:rPr>
          <w:fldChar w:fldCharType="begin"/>
        </w:r>
        <w:r w:rsidRPr="005A555F">
          <w:rPr>
            <w:color w:val="auto"/>
          </w:rPr>
          <w:instrText xml:space="preserve"> PAGE   \* MERGEFORMAT </w:instrText>
        </w:r>
        <w:r w:rsidRPr="005A555F">
          <w:rPr>
            <w:color w:val="auto"/>
          </w:rPr>
          <w:fldChar w:fldCharType="separate"/>
        </w:r>
        <w:r w:rsidRPr="005A555F">
          <w:rPr>
            <w:noProof/>
            <w:color w:val="auto"/>
          </w:rPr>
          <w:t>2</w:t>
        </w:r>
        <w:r w:rsidRPr="005A555F">
          <w:rPr>
            <w:noProof/>
            <w:color w:val="auto"/>
          </w:rPr>
          <w:fldChar w:fldCharType="end"/>
        </w:r>
      </w:p>
    </w:sdtContent>
  </w:sdt>
  <w:p w14:paraId="1F64273C" w14:textId="77777777" w:rsidR="005A555F" w:rsidRDefault="005A55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6D3"/>
    <w:rsid w:val="00070E39"/>
    <w:rsid w:val="001102C4"/>
    <w:rsid w:val="00150DCB"/>
    <w:rsid w:val="00176E14"/>
    <w:rsid w:val="001A044D"/>
    <w:rsid w:val="001C5284"/>
    <w:rsid w:val="002013C3"/>
    <w:rsid w:val="002B4C14"/>
    <w:rsid w:val="005A555F"/>
    <w:rsid w:val="006636F1"/>
    <w:rsid w:val="0077423A"/>
    <w:rsid w:val="00775546"/>
    <w:rsid w:val="00783671"/>
    <w:rsid w:val="00783AE2"/>
    <w:rsid w:val="007F6E73"/>
    <w:rsid w:val="00810C5E"/>
    <w:rsid w:val="00845958"/>
    <w:rsid w:val="009D12E2"/>
    <w:rsid w:val="009D6C21"/>
    <w:rsid w:val="00A54C36"/>
    <w:rsid w:val="00B070D0"/>
    <w:rsid w:val="00C41E69"/>
    <w:rsid w:val="00C56006"/>
    <w:rsid w:val="00CE3EC4"/>
    <w:rsid w:val="00D30130"/>
    <w:rsid w:val="00DA64C9"/>
    <w:rsid w:val="00DB6B53"/>
    <w:rsid w:val="00F006D3"/>
    <w:rsid w:val="00F226C2"/>
    <w:rsid w:val="00F76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353CB"/>
  <w15:chartTrackingRefBased/>
  <w15:docId w15:val="{F175DB3E-A5EA-46F0-BADB-6EA094100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6D3"/>
    <w:pPr>
      <w:spacing w:after="0" w:line="240" w:lineRule="auto"/>
    </w:pPr>
    <w:rPr>
      <w:rFonts w:ascii="Times New Roman" w:eastAsia="Times New Roman" w:hAnsi="Times New Roman" w:cs="Times New Roman"/>
      <w:color w:val="0000FF"/>
      <w:sz w:val="28"/>
      <w:szCs w:val="28"/>
      <w:lang w:eastAsia="ko-KR"/>
    </w:rPr>
  </w:style>
  <w:style w:type="paragraph" w:styleId="Heading1">
    <w:name w:val="heading 1"/>
    <w:basedOn w:val="Normal"/>
    <w:next w:val="Normal"/>
    <w:link w:val="Heading1Char"/>
    <w:qFormat/>
    <w:rsid w:val="00F006D3"/>
    <w:pPr>
      <w:keepNext/>
      <w:spacing w:before="120" w:after="120" w:line="320" w:lineRule="exact"/>
      <w:outlineLvl w:val="0"/>
    </w:pPr>
    <w:rPr>
      <w:rFonts w:eastAsia="Malgun Gothic"/>
      <w:b/>
      <w:bCs/>
      <w:color w:val="auto"/>
      <w:kern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06D3"/>
    <w:rPr>
      <w:rFonts w:ascii="Times New Roman" w:eastAsia="Malgun Gothic" w:hAnsi="Times New Roman" w:cs="Times New Roman"/>
      <w:b/>
      <w:bCs/>
      <w:kern w:val="32"/>
      <w:sz w:val="28"/>
      <w:szCs w:val="28"/>
    </w:rPr>
  </w:style>
  <w:style w:type="character" w:styleId="CommentReference">
    <w:name w:val="annotation reference"/>
    <w:basedOn w:val="DefaultParagraphFont"/>
    <w:uiPriority w:val="99"/>
    <w:semiHidden/>
    <w:unhideWhenUsed/>
    <w:rsid w:val="002013C3"/>
    <w:rPr>
      <w:sz w:val="16"/>
      <w:szCs w:val="16"/>
    </w:rPr>
  </w:style>
  <w:style w:type="paragraph" w:styleId="CommentText">
    <w:name w:val="annotation text"/>
    <w:basedOn w:val="Normal"/>
    <w:link w:val="CommentTextChar"/>
    <w:uiPriority w:val="99"/>
    <w:semiHidden/>
    <w:unhideWhenUsed/>
    <w:rsid w:val="002013C3"/>
    <w:rPr>
      <w:sz w:val="20"/>
      <w:szCs w:val="20"/>
    </w:rPr>
  </w:style>
  <w:style w:type="character" w:customStyle="1" w:styleId="CommentTextChar">
    <w:name w:val="Comment Text Char"/>
    <w:basedOn w:val="DefaultParagraphFont"/>
    <w:link w:val="CommentText"/>
    <w:uiPriority w:val="99"/>
    <w:semiHidden/>
    <w:rsid w:val="002013C3"/>
    <w:rPr>
      <w:rFonts w:ascii="Times New Roman" w:eastAsia="Times New Roman" w:hAnsi="Times New Roman" w:cs="Times New Roman"/>
      <w:color w:val="0000FF"/>
      <w:sz w:val="20"/>
      <w:szCs w:val="20"/>
      <w:lang w:eastAsia="ko-KR"/>
    </w:rPr>
  </w:style>
  <w:style w:type="paragraph" w:styleId="CommentSubject">
    <w:name w:val="annotation subject"/>
    <w:basedOn w:val="CommentText"/>
    <w:next w:val="CommentText"/>
    <w:link w:val="CommentSubjectChar"/>
    <w:uiPriority w:val="99"/>
    <w:semiHidden/>
    <w:unhideWhenUsed/>
    <w:rsid w:val="002013C3"/>
    <w:rPr>
      <w:b/>
      <w:bCs/>
    </w:rPr>
  </w:style>
  <w:style w:type="character" w:customStyle="1" w:styleId="CommentSubjectChar">
    <w:name w:val="Comment Subject Char"/>
    <w:basedOn w:val="CommentTextChar"/>
    <w:link w:val="CommentSubject"/>
    <w:uiPriority w:val="99"/>
    <w:semiHidden/>
    <w:rsid w:val="002013C3"/>
    <w:rPr>
      <w:rFonts w:ascii="Times New Roman" w:eastAsia="Times New Roman" w:hAnsi="Times New Roman" w:cs="Times New Roman"/>
      <w:b/>
      <w:bCs/>
      <w:color w:val="0000FF"/>
      <w:sz w:val="20"/>
      <w:szCs w:val="20"/>
      <w:lang w:eastAsia="ko-KR"/>
    </w:rPr>
  </w:style>
  <w:style w:type="paragraph" w:styleId="Header">
    <w:name w:val="header"/>
    <w:basedOn w:val="Normal"/>
    <w:link w:val="HeaderChar"/>
    <w:uiPriority w:val="99"/>
    <w:unhideWhenUsed/>
    <w:rsid w:val="005A555F"/>
    <w:pPr>
      <w:tabs>
        <w:tab w:val="center" w:pos="4680"/>
        <w:tab w:val="right" w:pos="9360"/>
      </w:tabs>
    </w:pPr>
  </w:style>
  <w:style w:type="character" w:customStyle="1" w:styleId="HeaderChar">
    <w:name w:val="Header Char"/>
    <w:basedOn w:val="DefaultParagraphFont"/>
    <w:link w:val="Header"/>
    <w:uiPriority w:val="99"/>
    <w:rsid w:val="005A555F"/>
    <w:rPr>
      <w:rFonts w:ascii="Times New Roman" w:eastAsia="Times New Roman" w:hAnsi="Times New Roman" w:cs="Times New Roman"/>
      <w:color w:val="0000FF"/>
      <w:sz w:val="28"/>
      <w:szCs w:val="28"/>
      <w:lang w:eastAsia="ko-KR"/>
    </w:rPr>
  </w:style>
  <w:style w:type="paragraph" w:styleId="Footer">
    <w:name w:val="footer"/>
    <w:basedOn w:val="Normal"/>
    <w:link w:val="FooterChar"/>
    <w:uiPriority w:val="99"/>
    <w:unhideWhenUsed/>
    <w:rsid w:val="005A555F"/>
    <w:pPr>
      <w:tabs>
        <w:tab w:val="center" w:pos="4680"/>
        <w:tab w:val="right" w:pos="9360"/>
      </w:tabs>
    </w:pPr>
  </w:style>
  <w:style w:type="character" w:customStyle="1" w:styleId="FooterChar">
    <w:name w:val="Footer Char"/>
    <w:basedOn w:val="DefaultParagraphFont"/>
    <w:link w:val="Footer"/>
    <w:uiPriority w:val="99"/>
    <w:rsid w:val="005A555F"/>
    <w:rPr>
      <w:rFonts w:ascii="Times New Roman" w:eastAsia="Times New Roman" w:hAnsi="Times New Roman" w:cs="Times New Roman"/>
      <w:color w:val="0000FF"/>
      <w:sz w:val="28"/>
      <w:szCs w:val="2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EB9B9F-BFFA-4B74-9480-E5787B02D7F8}"/>
</file>

<file path=customXml/itemProps2.xml><?xml version="1.0" encoding="utf-8"?>
<ds:datastoreItem xmlns:ds="http://schemas.openxmlformats.org/officeDocument/2006/customXml" ds:itemID="{DDB7AD47-ADCE-4FBD-B47E-BD8C89ACAA6C}"/>
</file>

<file path=customXml/itemProps3.xml><?xml version="1.0" encoding="utf-8"?>
<ds:datastoreItem xmlns:ds="http://schemas.openxmlformats.org/officeDocument/2006/customXml" ds:itemID="{C316ECCB-F99C-442C-9B83-436E97FF49E6}"/>
</file>

<file path=docProps/app.xml><?xml version="1.0" encoding="utf-8"?>
<Properties xmlns="http://schemas.openxmlformats.org/officeDocument/2006/extended-properties" xmlns:vt="http://schemas.openxmlformats.org/officeDocument/2006/docPropsVTypes">
  <Template>Normal.dotm</Template>
  <TotalTime>6</TotalTime>
  <Pages>1</Pages>
  <Words>712</Words>
  <Characters>4060</Characters>
  <Application>Microsoft Office Word</Application>
  <DocSecurity>0</DocSecurity>
  <Lines>33</Lines>
  <Paragraphs>9</Paragraphs>
  <ScaleCrop>false</ScaleCrop>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Thinh Lai Tien</cp:lastModifiedBy>
  <cp:revision>14</cp:revision>
  <cp:lastPrinted>2026-01-13T00:56:00Z</cp:lastPrinted>
  <dcterms:created xsi:type="dcterms:W3CDTF">2026-01-12T09:32:00Z</dcterms:created>
  <dcterms:modified xsi:type="dcterms:W3CDTF">2026-01-13T00:56:00Z</dcterms:modified>
</cp:coreProperties>
</file>